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4"/>
        </w:rPr>
        <w:t>Anti-Pitch</w:t>
      </w:r>
    </w:p>
    <w:p>
      <w:r>
        <w:rPr>
          <w:b/>
          <w:sz w:val="40"/>
        </w:rPr>
        <w:t>Acuerdo de confidencialidad</w:t>
      </w:r>
    </w:p>
    <w:p>
      <w:r>
        <w:rPr>
          <w:color w:val="6B6391"/>
        </w:rPr>
        <w:t>Para participar en un encuentro Anti-Pitch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Fecha del encuentro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Ciudad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Empresa que presenta el desafío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Organizador</w:t>
            </w:r>
          </w:p>
        </w:tc>
        <w:tc>
          <w:tcPr>
            <w:tcW w:type="dxa" w:w="4986"/>
          </w:tcPr>
          <w:p>
            <w:r>
              <w:t>Anti-Pitch · team@antipitch.org (y organizador local, si aplica)</w:t>
            </w:r>
          </w:p>
        </w:tc>
      </w:tr>
    </w:tbl>
    <w:p/>
    <w:p>
      <w:r>
        <w:t>Las personas que firman al final («Participantes») toman parte en el encuentro Anti-Pitch indicado arriba («Encuentro»). En el Encuentro, la empresa indicada («Empresa») comparte un desafío real y los Participantes lo trabajan con feedback honesto durante 120 minutos. Este acuerdo fija cómo se cuida lo que se comparte.</w:t>
      </w:r>
    </w:p>
    <w:p>
      <w:r>
        <w:rPr>
          <w:b/>
          <w:sz w:val="23"/>
        </w:rPr>
        <w:t>1. Qué es información confidencial</w:t>
      </w:r>
    </w:p>
    <w:p>
      <w:r>
        <w:t>Toda la información que la Empresa comparte en relación con el desafío, antes, durante o después del Encuentro, en cualquier formato: el desafío en sí, datos de clientes, ventas, finanzas, producto, tecnología, equipo, planes y decisiones pendientes.</w:t>
      </w:r>
    </w:p>
    <w:p>
      <w:r>
        <w:t>También lo que cualquier Participante comparte sobre su propia actividad en la mesa, y las opiniones y propuestas que surjan en la conversación en la medida en que permitan identificar a la Empresa, al desafío o a quien las dijo.</w:t>
      </w:r>
    </w:p>
    <w:p>
      <w:r>
        <w:rPr>
          <w:b/>
          <w:sz w:val="23"/>
        </w:rPr>
        <w:t>2. A qué se comprometen los Participantes</w:t>
      </w:r>
    </w:p>
    <w:p>
      <w:r>
        <w:t>(a) Usar la información confidencial solo para participar en el Encuentro y dar feedback.</w:t>
      </w:r>
    </w:p>
    <w:p>
      <w:r>
        <w:t>(b) No divulgarla ni publicarla en ningún medio, incluidas redes sociales y herramientas de inteligencia artificial que retengan datos.</w:t>
      </w:r>
    </w:p>
    <w:p>
      <w:r>
        <w:t>(c) Protegerla con el mismo cuidado que su propia información confidencial y nunca con menos que un cuidado razonable.</w:t>
      </w:r>
    </w:p>
    <w:p>
      <w:r>
        <w:t>(d) No grabar audio ni video, ni fotografiar material, sin autorización expresa de la Empresa y del Organizador.</w:t>
      </w:r>
    </w:p>
    <w:p>
      <w:r>
        <w:t>(e) Devolver o destruir el material recibido si la Empresa lo pide.</w:t>
      </w:r>
    </w:p>
    <w:p>
      <w:r>
        <w:rPr>
          <w:b/>
          <w:sz w:val="23"/>
        </w:rPr>
        <w:t>3. Lo que sí se puede contar (regla de la mesa)</w:t>
      </w:r>
    </w:p>
    <w:p>
      <w:r>
        <w:t>Los Participantes pueden contar que participaron en un Anti-Pitch y compartir aprendizajes generales, siempre que no identifiquen a la Empresa, al desafío ni a otros Participantes, ni atribuyan opiniones a personas.</w:t>
      </w:r>
    </w:p>
    <w:p>
      <w:r>
        <w:t>La regla es simple: lo que se dice se puede usar; quién lo dijo y de quién se habló, no.</w:t>
      </w:r>
    </w:p>
    <w:p>
      <w:r>
        <w:rPr>
          <w:b/>
          <w:sz w:val="23"/>
        </w:rPr>
        <w:t>4. Excepciones</w:t>
      </w:r>
    </w:p>
    <w:p>
      <w:r>
        <w:t>No es confidencial la información que: (a) sea o se vuelva pública sin culpa del Participante; (b) el Participante ya conocía antes y pueda demostrarlo; (c) reciba legítimamente de un tercero sin obligación de reserva; (d) desarrolle de forma independiente sin usar información confidencial; (e) deba revelar por ley u orden de autoridad, avisando antes a la Empresa cuando sea posible y limitando la revelación a lo exigido.</w:t>
      </w:r>
    </w:p>
    <w:p>
      <w:r>
        <w:rPr>
          <w:b/>
          <w:sz w:val="23"/>
        </w:rPr>
        <w:t>5. Propiedad y feedback</w:t>
      </w:r>
    </w:p>
    <w:p>
      <w:r>
        <w:t>La información confidencial sigue siendo de la Empresa. Este acuerdo no otorga licencias ni derechos sobre ella.</w:t>
      </w:r>
    </w:p>
    <w:p>
      <w:r>
        <w:t>El feedback, las ideas y las propuestas que los Participantes aportan en la mesa se dan de buena fe y sin cargo. La Empresa puede usarlos libremente, sin obligación de atribución ni compensación, y los Participantes no adquieren derechos sobre lo que la Empresa haga con ellos. Si un Participante quiere proponer una colaboración, lo hace por separado y por escrito.</w:t>
      </w:r>
    </w:p>
    <w:p>
      <w:r>
        <w:rPr>
          <w:b/>
          <w:sz w:val="23"/>
        </w:rPr>
        <w:t>6. Sin obligación de negocio ni exclusividad</w:t>
      </w:r>
    </w:p>
    <w:p>
      <w:r>
        <w:t>Este acuerdo no obliga a nadie a contratar, invertir, asociarse ni continuar la relación. Tampoco crea exclusividad: cada Participante puede seguir trabajando en temas similares, siempre que no use información confidencial de la Empresa.</w:t>
      </w:r>
    </w:p>
    <w:p>
      <w:r>
        <w:rPr>
          <w:b/>
          <w:sz w:val="23"/>
        </w:rPr>
        <w:t>7. Duración</w:t>
      </w:r>
    </w:p>
    <w:p>
      <w:r>
        <w:t>Las obligaciones de confidencialidad rigen desde la firma y durante dos (2) años después del Encuentro. Para la información que la Empresa identifique expresamente como secreto comercial, rigen mientras siga siendo secreta.</w:t>
      </w:r>
    </w:p>
    <w:p>
      <w:r>
        <w:rPr>
          <w:b/>
          <w:sz w:val="23"/>
        </w:rPr>
        <w:t>8. El rol del Organizador</w:t>
      </w:r>
    </w:p>
    <w:p>
      <w:r>
        <w:t>Anti-Pitch y el organizador local asumen las mismas obligaciones que los Participantes. Pueden conservar los datos de contacto de los firmantes y un registro mínimo del Encuentro (fecha, ciudad, participantes y tema general del desafío) según la Política de privacidad publicada en antipitch.org. No publican desafíos ni resultados sin autorización escrita de la Empresa.</w:t>
      </w:r>
    </w:p>
    <w:p>
      <w:r>
        <w:rPr>
          <w:b/>
          <w:sz w:val="23"/>
        </w:rPr>
        <w:t>9. Incumplimiento</w:t>
      </w:r>
    </w:p>
    <w:p>
      <w:r>
        <w:t>Cada Participante responde por sus propios incumplimientos. La Empresa puede exigir que cese la divulgación y reclamar los daños que un incumplimiento le cause, conforme a la ley aplicable.</w:t>
      </w:r>
    </w:p>
    <w:p>
      <w:r>
        <w:rPr>
          <w:b/>
          <w:sz w:val="23"/>
        </w:rPr>
        <w:t>10. Disposiciones generales</w:t>
      </w:r>
    </w:p>
    <w:p>
      <w:r>
        <w:t>Este es el acuerdo completo sobre confidencialidad para este Encuentro y reemplaza conversaciones previas sobre el tema. Si la Empresa y un Participante tienen entre sí un acuerdo de confidencialidad más estricto, prevalece ese. Cualquier modificación debe ser por escrito. Si una cláusula resulta inválida, el resto sigue vigente.</w:t>
      </w:r>
    </w:p>
    <w:p>
      <w:r>
        <w:t>Puede firmarse en papel o electrónicamente y en ejemplares separados; todos juntos forman un solo acuerdo.</w:t>
      </w:r>
    </w:p>
    <w:p>
      <w:r>
        <w:rPr>
          <w:b/>
          <w:sz w:val="23"/>
        </w:rPr>
        <w:t>11. Ley aplicable y jurisdicción</w:t>
      </w:r>
    </w:p>
    <w:p>
      <w:r>
        <w:t>Este acuerdo se rige por las leyes de [país o jurisdicción] y cualquier disputa se somete a los tribunales de [ciudad], salvo que las partes acuerden por escrito otra cosa.</w:t>
      </w:r>
    </w:p>
    <w:p>
      <w:r>
        <w:br w:type="page"/>
      </w:r>
    </w:p>
    <w:p>
      <w:r>
        <w:rPr>
          <w:b/>
        </w:rPr>
        <w:t>Por la Empresa</w:t>
      </w:r>
    </w:p>
    <w:p>
      <w:r>
        <w:t>Nombre y cargo: ____________________________________</w:t>
      </w:r>
    </w:p>
    <w:p>
      <w:r>
        <w:t>Firma: ____________________________________</w:t>
      </w:r>
    </w:p>
    <w:p>
      <w:r>
        <w:t>Fecha: ____________________________________</w:t>
      </w:r>
    </w:p>
    <w:p/>
    <w:p>
      <w:r>
        <w:rPr>
          <w:b/>
        </w:rPr>
        <w:t>Por el Organizador</w:t>
      </w:r>
    </w:p>
    <w:p>
      <w:r>
        <w:t>Nombre y cargo: ____________________________________</w:t>
      </w:r>
    </w:p>
    <w:p>
      <w:r>
        <w:t>Firma: ____________________________________</w:t>
      </w:r>
    </w:p>
    <w:p>
      <w:r>
        <w:t>Fecha: ____________________________________</w:t>
      </w:r>
    </w:p>
    <w:p/>
    <w:p>
      <w:r>
        <w:rPr>
          <w:b/>
        </w:rPr>
        <w:t>Participantes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Nombre completo</w:t>
            </w:r>
          </w:p>
        </w:tc>
        <w:tc>
          <w:tcPr>
            <w:tcW w:type="dxa" w:w="2493"/>
          </w:tcPr>
          <w:p>
            <w:r>
              <w:rPr>
                <w:b/>
              </w:rPr>
              <w:t>Organización y rol</w:t>
            </w:r>
          </w:p>
        </w:tc>
        <w:tc>
          <w:tcPr>
            <w:tcW w:type="dxa" w:w="2493"/>
          </w:tcPr>
          <w:p>
            <w:r>
              <w:rPr>
                <w:b/>
              </w:rPr>
              <w:t>Email</w:t>
            </w:r>
          </w:p>
        </w:tc>
        <w:tc>
          <w:tcPr>
            <w:tcW w:type="dxa" w:w="2493"/>
          </w:tcPr>
          <w:p>
            <w:r>
              <w:rPr>
                <w:b/>
              </w:rPr>
              <w:t>Firma</w:t>
            </w:r>
          </w:p>
        </w:tc>
      </w:tr>
      <w:tr>
        <w:tc>
          <w:tcPr>
            <w:tcW w:type="dxa" w:w="2493"/>
          </w:tcPr>
          <w:p>
            <w:pPr>
              <w:spacing w:after="280"/>
            </w:pPr>
          </w:p>
        </w:tc>
        <w:tc>
          <w:tcPr>
            <w:tcW w:type="dxa" w:w="2493"/>
          </w:tcPr>
          <w:p>
            <w:pPr>
              <w:spacing w:after="280"/>
            </w:pPr>
          </w:p>
        </w:tc>
        <w:tc>
          <w:tcPr>
            <w:tcW w:type="dxa" w:w="2493"/>
          </w:tcPr>
          <w:p>
            <w:pPr>
              <w:spacing w:after="280"/>
            </w:pPr>
          </w:p>
        </w:tc>
        <w:tc>
          <w:tcPr>
            <w:tcW w:type="dxa" w:w="2493"/>
          </w:tcPr>
          <w:p>
            <w:pPr>
              <w:spacing w:after="280"/>
            </w:pPr>
          </w:p>
        </w:tc>
      </w:tr>
      <w:tr>
        <w:tc>
          <w:tcPr>
            <w:tcW w:type="dxa" w:w="2493"/>
          </w:tcPr>
          <w:p>
            <w:pPr>
              <w:spacing w:after="280"/>
            </w:pPr>
          </w:p>
        </w:tc>
        <w:tc>
          <w:tcPr>
            <w:tcW w:type="dxa" w:w="2493"/>
          </w:tcPr>
          <w:p>
            <w:pPr>
              <w:spacing w:after="280"/>
            </w:pPr>
          </w:p>
        </w:tc>
        <w:tc>
          <w:tcPr>
            <w:tcW w:type="dxa" w:w="2493"/>
          </w:tcPr>
          <w:p>
            <w:pPr>
              <w:spacing w:after="280"/>
            </w:pPr>
          </w:p>
        </w:tc>
        <w:tc>
          <w:tcPr>
            <w:tcW w:type="dxa" w:w="2493"/>
          </w:tcPr>
          <w:p>
            <w:pPr>
              <w:spacing w:after="280"/>
            </w:pPr>
          </w:p>
        </w:tc>
      </w:tr>
      <w:tr>
        <w:tc>
          <w:tcPr>
            <w:tcW w:type="dxa" w:w="2493"/>
          </w:tcPr>
          <w:p>
            <w:pPr>
              <w:spacing w:after="280"/>
            </w:pPr>
          </w:p>
        </w:tc>
        <w:tc>
          <w:tcPr>
            <w:tcW w:type="dxa" w:w="2493"/>
          </w:tcPr>
          <w:p>
            <w:pPr>
              <w:spacing w:after="280"/>
            </w:pPr>
          </w:p>
        </w:tc>
        <w:tc>
          <w:tcPr>
            <w:tcW w:type="dxa" w:w="2493"/>
          </w:tcPr>
          <w:p>
            <w:pPr>
              <w:spacing w:after="280"/>
            </w:pPr>
          </w:p>
        </w:tc>
        <w:tc>
          <w:tcPr>
            <w:tcW w:type="dxa" w:w="2493"/>
          </w:tcPr>
          <w:p>
            <w:pPr>
              <w:spacing w:after="280"/>
            </w:pPr>
          </w:p>
        </w:tc>
      </w:tr>
      <w:tr>
        <w:tc>
          <w:tcPr>
            <w:tcW w:type="dxa" w:w="2493"/>
          </w:tcPr>
          <w:p>
            <w:pPr>
              <w:spacing w:after="280"/>
            </w:pPr>
          </w:p>
        </w:tc>
        <w:tc>
          <w:tcPr>
            <w:tcW w:type="dxa" w:w="2493"/>
          </w:tcPr>
          <w:p>
            <w:pPr>
              <w:spacing w:after="280"/>
            </w:pPr>
          </w:p>
        </w:tc>
        <w:tc>
          <w:tcPr>
            <w:tcW w:type="dxa" w:w="2493"/>
          </w:tcPr>
          <w:p>
            <w:pPr>
              <w:spacing w:after="280"/>
            </w:pPr>
          </w:p>
        </w:tc>
        <w:tc>
          <w:tcPr>
            <w:tcW w:type="dxa" w:w="2493"/>
          </w:tcPr>
          <w:p>
            <w:pPr>
              <w:spacing w:after="280"/>
            </w:pPr>
          </w:p>
        </w:tc>
      </w:tr>
      <w:tr>
        <w:tc>
          <w:tcPr>
            <w:tcW w:type="dxa" w:w="2493"/>
          </w:tcPr>
          <w:p>
            <w:pPr>
              <w:spacing w:after="280"/>
            </w:pPr>
          </w:p>
        </w:tc>
        <w:tc>
          <w:tcPr>
            <w:tcW w:type="dxa" w:w="2493"/>
          </w:tcPr>
          <w:p>
            <w:pPr>
              <w:spacing w:after="280"/>
            </w:pPr>
          </w:p>
        </w:tc>
        <w:tc>
          <w:tcPr>
            <w:tcW w:type="dxa" w:w="2493"/>
          </w:tcPr>
          <w:p>
            <w:pPr>
              <w:spacing w:after="280"/>
            </w:pPr>
          </w:p>
        </w:tc>
        <w:tc>
          <w:tcPr>
            <w:tcW w:type="dxa" w:w="2493"/>
          </w:tcPr>
          <w:p>
            <w:pPr>
              <w:spacing w:after="280"/>
            </w:pPr>
          </w:p>
        </w:tc>
      </w:tr>
      <w:tr>
        <w:tc>
          <w:tcPr>
            <w:tcW w:type="dxa" w:w="2493"/>
          </w:tcPr>
          <w:p>
            <w:pPr>
              <w:spacing w:after="280"/>
            </w:pPr>
          </w:p>
        </w:tc>
        <w:tc>
          <w:tcPr>
            <w:tcW w:type="dxa" w:w="2493"/>
          </w:tcPr>
          <w:p>
            <w:pPr>
              <w:spacing w:after="280"/>
            </w:pPr>
          </w:p>
        </w:tc>
        <w:tc>
          <w:tcPr>
            <w:tcW w:type="dxa" w:w="2493"/>
          </w:tcPr>
          <w:p>
            <w:pPr>
              <w:spacing w:after="280"/>
            </w:pPr>
          </w:p>
        </w:tc>
        <w:tc>
          <w:tcPr>
            <w:tcW w:type="dxa" w:w="2493"/>
          </w:tcPr>
          <w:p>
            <w:pPr>
              <w:spacing w:after="280"/>
            </w:pPr>
          </w:p>
        </w:tc>
      </w:tr>
      <w:tr>
        <w:tc>
          <w:tcPr>
            <w:tcW w:type="dxa" w:w="2493"/>
          </w:tcPr>
          <w:p>
            <w:pPr>
              <w:spacing w:after="280"/>
            </w:pPr>
          </w:p>
        </w:tc>
        <w:tc>
          <w:tcPr>
            <w:tcW w:type="dxa" w:w="2493"/>
          </w:tcPr>
          <w:p>
            <w:pPr>
              <w:spacing w:after="280"/>
            </w:pPr>
          </w:p>
        </w:tc>
        <w:tc>
          <w:tcPr>
            <w:tcW w:type="dxa" w:w="2493"/>
          </w:tcPr>
          <w:p>
            <w:pPr>
              <w:spacing w:after="280"/>
            </w:pPr>
          </w:p>
        </w:tc>
        <w:tc>
          <w:tcPr>
            <w:tcW w:type="dxa" w:w="2493"/>
          </w:tcPr>
          <w:p>
            <w:pPr>
              <w:spacing w:after="280"/>
            </w:pPr>
          </w:p>
        </w:tc>
      </w:tr>
      <w:tr>
        <w:tc>
          <w:tcPr>
            <w:tcW w:type="dxa" w:w="2493"/>
          </w:tcPr>
          <w:p>
            <w:pPr>
              <w:spacing w:after="280"/>
            </w:pPr>
          </w:p>
        </w:tc>
        <w:tc>
          <w:tcPr>
            <w:tcW w:type="dxa" w:w="2493"/>
          </w:tcPr>
          <w:p>
            <w:pPr>
              <w:spacing w:after="280"/>
            </w:pPr>
          </w:p>
        </w:tc>
        <w:tc>
          <w:tcPr>
            <w:tcW w:type="dxa" w:w="2493"/>
          </w:tcPr>
          <w:p>
            <w:pPr>
              <w:spacing w:after="280"/>
            </w:pPr>
          </w:p>
        </w:tc>
        <w:tc>
          <w:tcPr>
            <w:tcW w:type="dxa" w:w="2493"/>
          </w:tcPr>
          <w:p>
            <w:pPr>
              <w:spacing w:after="280"/>
            </w:pPr>
          </w:p>
        </w:tc>
      </w:tr>
    </w:tbl>
    <w:p/>
    <w:p>
      <w:r>
        <w:rPr>
          <w:color w:val="6B6391"/>
          <w:sz w:val="16"/>
        </w:rPr>
        <w:t>Modelo de acuerdo de confidencialidad de Anti-Pitch · v1.0 · octubre 2026 · antipitch.org/confidencialidad. Punto de partida pensado para encuentros de 120 minutos; no reemplaza asesoramiento legal. Las empresas pueden proponer su propio acuerdo.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